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0C484" w14:textId="370E2059" w:rsidR="0055778B" w:rsidRDefault="00000000">
      <w:pPr>
        <w:rPr>
          <w:b/>
          <w:bCs/>
        </w:rPr>
      </w:pPr>
      <w:r>
        <w:rPr>
          <w:b/>
          <w:bCs/>
        </w:rPr>
        <w:t xml:space="preserve">LANDSCAPE CHARACTER ASSESSMENTS FOR HERTFORDSHIRE RELATING TO THE MIMRAM </w:t>
      </w:r>
      <w:r w:rsidR="00DC0783">
        <w:rPr>
          <w:b/>
          <w:bCs/>
        </w:rPr>
        <w:t>VALLEY PROJECT</w:t>
      </w:r>
    </w:p>
    <w:p w14:paraId="060FAF0F" w14:textId="77777777" w:rsidR="0055778B" w:rsidRDefault="0055778B"/>
    <w:p w14:paraId="22BB8148" w14:textId="77777777" w:rsidR="0055778B" w:rsidRDefault="0055778B"/>
    <w:p w14:paraId="0E5B6ECB" w14:textId="77777777" w:rsidR="0055778B" w:rsidRDefault="00000000">
      <w:pPr>
        <w:jc w:val="both"/>
        <w:rPr>
          <w:rFonts w:ascii="Times New Roman" w:hAnsi="Times New Roman"/>
          <w:b/>
          <w:bCs/>
        </w:rPr>
      </w:pPr>
      <w:r>
        <w:rPr>
          <w:rFonts w:ascii="Times New Roman" w:hAnsi="Times New Roman"/>
          <w:b/>
          <w:bCs/>
        </w:rPr>
        <w:t>Introduction</w:t>
      </w:r>
      <w:r>
        <w:rPr>
          <w:rStyle w:val="FootnoteReference"/>
          <w:rFonts w:ascii="Times New Roman" w:hAnsi="Times New Roman"/>
          <w:b/>
          <w:bCs/>
        </w:rPr>
        <w:footnoteReference w:id="1"/>
      </w:r>
    </w:p>
    <w:p w14:paraId="64B607BC" w14:textId="77777777" w:rsidR="0055778B" w:rsidRDefault="0055778B">
      <w:pPr>
        <w:jc w:val="both"/>
        <w:rPr>
          <w:rFonts w:ascii="Times New Roman" w:hAnsi="Times New Roman"/>
        </w:rPr>
      </w:pPr>
    </w:p>
    <w:p w14:paraId="365394A9" w14:textId="46D5B70D" w:rsidR="0055778B" w:rsidRDefault="00DC0783">
      <w:pPr>
        <w:jc w:val="both"/>
        <w:rPr>
          <w:rFonts w:ascii="Times New Roman" w:hAnsi="Times New Roman"/>
        </w:rPr>
      </w:pPr>
      <w:r>
        <w:rPr>
          <w:rFonts w:ascii="Times New Roman" w:hAnsi="Times New Roman"/>
        </w:rPr>
        <w:t xml:space="preserve">A number of these </w:t>
      </w:r>
      <w:r w:rsidR="00000000">
        <w:rPr>
          <w:rFonts w:ascii="Times New Roman" w:hAnsi="Times New Roman"/>
        </w:rPr>
        <w:t xml:space="preserve">local Landscape Character Assessments (LCAs) are very outdated but may have useful information to bear in mind when assessing the corridor boundaries at parish level. Changes in methodology over the years mean they are very much due for updating.  The North Herts LCAs are however, more recent and do at least include several of the factors that were not included in the earlier LCAs.  Whilst the LCAs are part of the landscape analysis, there has been criticism of them in professional circles.  It is important to note the scale of the LCAs.  Within the wider catchment area, there are clearly significant differences in the landscape and this may help when defining a boundary.  The LCA assessments (some assessed 2004, the North Herts ones 2011) tend mainly to evaluate the areas as moderate in terms of landscape value, but it should be borne in mind that higher evaluations tend to apply to Nationally-designated sites. </w:t>
      </w:r>
    </w:p>
    <w:p w14:paraId="3F7AD74F" w14:textId="77777777" w:rsidR="0055778B" w:rsidRDefault="0055778B">
      <w:pPr>
        <w:jc w:val="both"/>
        <w:rPr>
          <w:rFonts w:ascii="Times New Roman" w:hAnsi="Times New Roman"/>
        </w:rPr>
      </w:pPr>
    </w:p>
    <w:p w14:paraId="66A2C937" w14:textId="4F2C1BDF" w:rsidR="0055778B" w:rsidRDefault="00000000">
      <w:pPr>
        <w:jc w:val="both"/>
      </w:pPr>
      <w:r>
        <w:rPr>
          <w:rFonts w:ascii="Times New Roman" w:hAnsi="Times New Roman"/>
        </w:rPr>
        <w:t>The following</w:t>
      </w:r>
      <w:r>
        <w:rPr>
          <w:rStyle w:val="FootnoteReference"/>
          <w:rFonts w:ascii="Times New Roman" w:hAnsi="Times New Roman"/>
        </w:rPr>
        <w:footnoteReference w:id="2"/>
      </w:r>
      <w:r>
        <w:rPr>
          <w:rFonts w:ascii="Times New Roman" w:hAnsi="Times New Roman"/>
        </w:rPr>
        <w:t xml:space="preserve"> LCAs are relevant to our </w:t>
      </w:r>
      <w:r w:rsidR="00DC0783">
        <w:rPr>
          <w:rFonts w:ascii="Times New Roman" w:hAnsi="Times New Roman"/>
        </w:rPr>
        <w:t>Valley</w:t>
      </w:r>
      <w:r>
        <w:rPr>
          <w:rStyle w:val="FootnoteReference"/>
          <w:rFonts w:ascii="Times New Roman" w:hAnsi="Times New Roman"/>
        </w:rPr>
        <w:footnoteReference w:id="3"/>
      </w:r>
      <w:r>
        <w:rPr>
          <w:rFonts w:ascii="Times New Roman" w:hAnsi="Times New Roman"/>
        </w:rPr>
        <w:t xml:space="preserve"> Project:</w:t>
      </w:r>
    </w:p>
    <w:p w14:paraId="0E0E22D1" w14:textId="77777777" w:rsidR="0055778B" w:rsidRDefault="0055778B"/>
    <w:p w14:paraId="4F5A6B9D" w14:textId="77777777" w:rsidR="0055778B" w:rsidRDefault="00000000">
      <w:pPr>
        <w:rPr>
          <w:rFonts w:ascii="Times New Roman" w:hAnsi="Times New Roman"/>
        </w:rPr>
      </w:pPr>
      <w:r>
        <w:rPr>
          <w:rFonts w:ascii="Times New Roman" w:hAnsi="Times New Roman"/>
          <w:b/>
          <w:bCs/>
        </w:rPr>
        <w:t>East Herts District Council</w:t>
      </w:r>
    </w:p>
    <w:p w14:paraId="5ADF4F02" w14:textId="77777777" w:rsidR="0055778B" w:rsidRDefault="0055778B">
      <w:pPr>
        <w:rPr>
          <w:rFonts w:ascii="Arial" w:hAnsi="Arial"/>
        </w:rPr>
      </w:pPr>
    </w:p>
    <w:p w14:paraId="43E6EBEC" w14:textId="77777777" w:rsidR="0055778B" w:rsidRDefault="00000000">
      <w:pPr>
        <w:rPr>
          <w:rFonts w:ascii="Arial" w:hAnsi="Arial"/>
        </w:rPr>
      </w:pPr>
      <w:r>
        <w:rPr>
          <w:rFonts w:ascii="Arial" w:hAnsi="Arial"/>
        </w:rPr>
        <w:t>42</w:t>
      </w:r>
      <w:r>
        <w:rPr>
          <w:rFonts w:ascii="Arial" w:hAnsi="Arial"/>
        </w:rPr>
        <w:tab/>
        <w:t>Tewin</w:t>
      </w:r>
    </w:p>
    <w:p w14:paraId="0CF5A1AB" w14:textId="77777777" w:rsidR="0055778B" w:rsidRDefault="00000000">
      <w:pPr>
        <w:rPr>
          <w:rFonts w:ascii="Arial" w:hAnsi="Arial"/>
        </w:rPr>
      </w:pPr>
      <w:r>
        <w:rPr>
          <w:rFonts w:ascii="Arial" w:hAnsi="Arial"/>
        </w:rPr>
        <w:t>43</w:t>
      </w:r>
      <w:r>
        <w:rPr>
          <w:rFonts w:ascii="Arial" w:hAnsi="Arial"/>
        </w:rPr>
        <w:tab/>
      </w:r>
      <w:proofErr w:type="spellStart"/>
      <w:r>
        <w:rPr>
          <w:rFonts w:ascii="Arial" w:hAnsi="Arial"/>
        </w:rPr>
        <w:t>Mimram</w:t>
      </w:r>
      <w:proofErr w:type="spellEnd"/>
      <w:r>
        <w:rPr>
          <w:rFonts w:ascii="Arial" w:hAnsi="Arial"/>
        </w:rPr>
        <w:t xml:space="preserve"> Valley Parklands</w:t>
      </w:r>
    </w:p>
    <w:p w14:paraId="4647C3EF" w14:textId="77777777" w:rsidR="0055778B" w:rsidRDefault="00000000">
      <w:pPr>
        <w:rPr>
          <w:rFonts w:ascii="Arial" w:hAnsi="Arial"/>
        </w:rPr>
      </w:pPr>
      <w:r>
        <w:rPr>
          <w:rFonts w:ascii="Arial" w:hAnsi="Arial"/>
        </w:rPr>
        <w:t>44</w:t>
      </w:r>
      <w:r>
        <w:rPr>
          <w:rFonts w:ascii="Arial" w:hAnsi="Arial"/>
        </w:rPr>
        <w:tab/>
      </w:r>
      <w:proofErr w:type="spellStart"/>
      <w:r>
        <w:rPr>
          <w:rFonts w:ascii="Arial" w:hAnsi="Arial"/>
        </w:rPr>
        <w:t>Panshanger</w:t>
      </w:r>
      <w:proofErr w:type="spellEnd"/>
      <w:r>
        <w:rPr>
          <w:rFonts w:ascii="Arial" w:hAnsi="Arial"/>
        </w:rPr>
        <w:t xml:space="preserve"> Parklands</w:t>
      </w:r>
    </w:p>
    <w:p w14:paraId="4A34851C" w14:textId="77777777" w:rsidR="0055778B" w:rsidRDefault="00000000">
      <w:pPr>
        <w:rPr>
          <w:rFonts w:ascii="Arial" w:hAnsi="Arial"/>
        </w:rPr>
      </w:pPr>
      <w:r>
        <w:rPr>
          <w:rFonts w:ascii="Arial" w:hAnsi="Arial"/>
        </w:rPr>
        <w:t>66</w:t>
      </w:r>
      <w:r>
        <w:rPr>
          <w:rFonts w:ascii="Arial" w:hAnsi="Arial"/>
        </w:rPr>
        <w:tab/>
        <w:t xml:space="preserve">Cole Green and </w:t>
      </w:r>
      <w:proofErr w:type="spellStart"/>
      <w:r>
        <w:rPr>
          <w:rFonts w:ascii="Arial" w:hAnsi="Arial"/>
        </w:rPr>
        <w:t>Hertingfordbury</w:t>
      </w:r>
      <w:proofErr w:type="spellEnd"/>
      <w:r>
        <w:rPr>
          <w:rFonts w:ascii="Arial" w:hAnsi="Arial"/>
        </w:rPr>
        <w:t xml:space="preserve"> Settled Farmland</w:t>
      </w:r>
    </w:p>
    <w:p w14:paraId="5BE3627B" w14:textId="77777777" w:rsidR="0055778B" w:rsidRDefault="0055778B">
      <w:pPr>
        <w:rPr>
          <w:rFonts w:ascii="Arial" w:hAnsi="Arial"/>
        </w:rPr>
      </w:pPr>
    </w:p>
    <w:p w14:paraId="3D45E452" w14:textId="77777777" w:rsidR="0055778B" w:rsidRDefault="0055778B">
      <w:pPr>
        <w:rPr>
          <w:rFonts w:ascii="Arial" w:hAnsi="Arial"/>
        </w:rPr>
      </w:pPr>
    </w:p>
    <w:p w14:paraId="3D54FD40" w14:textId="77777777" w:rsidR="0055778B" w:rsidRDefault="00000000">
      <w:pPr>
        <w:rPr>
          <w:rFonts w:ascii="Times New Roman" w:hAnsi="Times New Roman"/>
          <w:b/>
          <w:bCs/>
        </w:rPr>
      </w:pPr>
      <w:r>
        <w:rPr>
          <w:rFonts w:ascii="Times New Roman" w:hAnsi="Times New Roman"/>
          <w:b/>
          <w:bCs/>
        </w:rPr>
        <w:t>Welwyn Hatfield Borough Council</w:t>
      </w:r>
    </w:p>
    <w:p w14:paraId="00844377" w14:textId="77777777" w:rsidR="0055778B" w:rsidRDefault="0055778B">
      <w:pPr>
        <w:rPr>
          <w:rFonts w:ascii="Arial" w:hAnsi="Arial"/>
        </w:rPr>
      </w:pPr>
    </w:p>
    <w:p w14:paraId="6D1CDD15" w14:textId="77777777" w:rsidR="0055778B" w:rsidRDefault="00000000">
      <w:pPr>
        <w:rPr>
          <w:rFonts w:ascii="Arial" w:hAnsi="Arial"/>
        </w:rPr>
      </w:pPr>
      <w:r>
        <w:rPr>
          <w:rFonts w:ascii="Arial" w:hAnsi="Arial"/>
        </w:rPr>
        <w:t>34</w:t>
      </w:r>
      <w:r>
        <w:rPr>
          <w:rFonts w:ascii="Arial" w:hAnsi="Arial"/>
        </w:rPr>
        <w:tab/>
        <w:t>Blackmore End Plateau</w:t>
      </w:r>
    </w:p>
    <w:p w14:paraId="075A58F5" w14:textId="77777777" w:rsidR="0055778B" w:rsidRDefault="00000000">
      <w:pPr>
        <w:rPr>
          <w:rFonts w:ascii="Arial" w:hAnsi="Arial"/>
        </w:rPr>
      </w:pPr>
      <w:r>
        <w:rPr>
          <w:rFonts w:ascii="Arial" w:hAnsi="Arial"/>
        </w:rPr>
        <w:t>35</w:t>
      </w:r>
      <w:r>
        <w:rPr>
          <w:rFonts w:ascii="Arial" w:hAnsi="Arial"/>
        </w:rPr>
        <w:tab/>
      </w:r>
      <w:proofErr w:type="spellStart"/>
      <w:r>
        <w:rPr>
          <w:rFonts w:ascii="Arial" w:hAnsi="Arial"/>
        </w:rPr>
        <w:t>Ayot</w:t>
      </w:r>
      <w:proofErr w:type="spellEnd"/>
      <w:r>
        <w:rPr>
          <w:rFonts w:ascii="Arial" w:hAnsi="Arial"/>
        </w:rPr>
        <w:t xml:space="preserve"> St Peter Wooded Upland</w:t>
      </w:r>
    </w:p>
    <w:p w14:paraId="3013646E" w14:textId="77777777" w:rsidR="0055778B" w:rsidRDefault="00000000">
      <w:pPr>
        <w:rPr>
          <w:rFonts w:ascii="Arial" w:hAnsi="Arial"/>
        </w:rPr>
      </w:pPr>
      <w:r>
        <w:rPr>
          <w:rFonts w:ascii="Arial" w:hAnsi="Arial"/>
        </w:rPr>
        <w:t>36</w:t>
      </w:r>
      <w:r>
        <w:rPr>
          <w:rFonts w:ascii="Arial" w:hAnsi="Arial"/>
        </w:rPr>
        <w:tab/>
        <w:t xml:space="preserve">Upper </w:t>
      </w:r>
      <w:proofErr w:type="spellStart"/>
      <w:r>
        <w:rPr>
          <w:rFonts w:ascii="Arial" w:hAnsi="Arial"/>
        </w:rPr>
        <w:t>Mimram</w:t>
      </w:r>
      <w:proofErr w:type="spellEnd"/>
      <w:r>
        <w:rPr>
          <w:rFonts w:ascii="Arial" w:hAnsi="Arial"/>
        </w:rPr>
        <w:t xml:space="preserve"> Valley</w:t>
      </w:r>
    </w:p>
    <w:p w14:paraId="730096FD" w14:textId="77777777" w:rsidR="0055778B" w:rsidRDefault="00000000">
      <w:pPr>
        <w:rPr>
          <w:rFonts w:ascii="Arial" w:hAnsi="Arial"/>
        </w:rPr>
      </w:pPr>
      <w:r>
        <w:rPr>
          <w:rFonts w:ascii="Arial" w:hAnsi="Arial"/>
        </w:rPr>
        <w:t>45</w:t>
      </w:r>
      <w:r>
        <w:rPr>
          <w:rFonts w:ascii="Arial" w:hAnsi="Arial"/>
        </w:rPr>
        <w:tab/>
        <w:t>Welwyn Fringe</w:t>
      </w:r>
    </w:p>
    <w:p w14:paraId="78AD6F9A" w14:textId="77777777" w:rsidR="0055778B" w:rsidRDefault="00000000">
      <w:pPr>
        <w:rPr>
          <w:rFonts w:ascii="Arial" w:hAnsi="Arial"/>
        </w:rPr>
      </w:pPr>
      <w:r>
        <w:rPr>
          <w:rFonts w:ascii="Arial" w:hAnsi="Arial"/>
        </w:rPr>
        <w:t>133a</w:t>
      </w:r>
      <w:r>
        <w:rPr>
          <w:rFonts w:ascii="Arial" w:hAnsi="Arial"/>
        </w:rPr>
        <w:tab/>
      </w:r>
      <w:proofErr w:type="spellStart"/>
      <w:r>
        <w:rPr>
          <w:rFonts w:ascii="Arial" w:hAnsi="Arial"/>
        </w:rPr>
        <w:t>Danesbury</w:t>
      </w:r>
      <w:proofErr w:type="spellEnd"/>
      <w:r>
        <w:rPr>
          <w:rFonts w:ascii="Arial" w:hAnsi="Arial"/>
        </w:rPr>
        <w:t xml:space="preserve"> Settled Slopes.</w:t>
      </w:r>
    </w:p>
    <w:p w14:paraId="309F655A" w14:textId="77777777" w:rsidR="0055778B" w:rsidRDefault="0055778B">
      <w:pPr>
        <w:rPr>
          <w:rFonts w:ascii="Arial" w:hAnsi="Arial"/>
        </w:rPr>
      </w:pPr>
    </w:p>
    <w:p w14:paraId="6DFFF1A7" w14:textId="77777777" w:rsidR="0055778B" w:rsidRDefault="0055778B">
      <w:pPr>
        <w:rPr>
          <w:rFonts w:ascii="Arial" w:hAnsi="Arial"/>
        </w:rPr>
      </w:pPr>
    </w:p>
    <w:p w14:paraId="0EE68A35" w14:textId="77777777" w:rsidR="0055778B" w:rsidRDefault="00000000">
      <w:pPr>
        <w:rPr>
          <w:rFonts w:ascii="Times New Roman" w:hAnsi="Times New Roman"/>
          <w:b/>
          <w:bCs/>
        </w:rPr>
      </w:pPr>
      <w:r>
        <w:rPr>
          <w:rFonts w:ascii="Times New Roman" w:hAnsi="Times New Roman"/>
          <w:b/>
          <w:bCs/>
        </w:rPr>
        <w:t>North Herts District Council</w:t>
      </w:r>
    </w:p>
    <w:p w14:paraId="3D50D484" w14:textId="77777777" w:rsidR="0055778B" w:rsidRDefault="0055778B">
      <w:pPr>
        <w:rPr>
          <w:rFonts w:ascii="Arial" w:hAnsi="Arial"/>
        </w:rPr>
      </w:pPr>
    </w:p>
    <w:p w14:paraId="60F5ADCF" w14:textId="77777777" w:rsidR="0055778B" w:rsidRDefault="00000000">
      <w:pPr>
        <w:rPr>
          <w:rFonts w:ascii="Arial" w:hAnsi="Arial"/>
        </w:rPr>
      </w:pPr>
      <w:r>
        <w:rPr>
          <w:rFonts w:ascii="Arial" w:hAnsi="Arial"/>
        </w:rPr>
        <w:t>132</w:t>
      </w:r>
      <w:r>
        <w:rPr>
          <w:rFonts w:ascii="Arial" w:hAnsi="Arial"/>
        </w:rPr>
        <w:tab/>
      </w:r>
      <w:proofErr w:type="spellStart"/>
      <w:r>
        <w:rPr>
          <w:rFonts w:ascii="Arial" w:hAnsi="Arial"/>
        </w:rPr>
        <w:t>Codicote</w:t>
      </w:r>
      <w:proofErr w:type="spellEnd"/>
      <w:r>
        <w:rPr>
          <w:rFonts w:ascii="Arial" w:hAnsi="Arial"/>
        </w:rPr>
        <w:t xml:space="preserve"> Bottom Arable Valley </w:t>
      </w:r>
    </w:p>
    <w:p w14:paraId="4C19C094" w14:textId="77777777" w:rsidR="0055778B" w:rsidRDefault="00000000">
      <w:pPr>
        <w:rPr>
          <w:rFonts w:ascii="Arial" w:hAnsi="Arial"/>
        </w:rPr>
      </w:pPr>
      <w:r>
        <w:rPr>
          <w:rFonts w:ascii="Arial" w:hAnsi="Arial"/>
        </w:rPr>
        <w:t>133b</w:t>
      </w:r>
      <w:r>
        <w:rPr>
          <w:rFonts w:ascii="Arial" w:hAnsi="Arial"/>
        </w:rPr>
        <w:tab/>
      </w:r>
      <w:proofErr w:type="spellStart"/>
      <w:r>
        <w:rPr>
          <w:rFonts w:ascii="Arial" w:hAnsi="Arial"/>
        </w:rPr>
        <w:t>Rabley</w:t>
      </w:r>
      <w:proofErr w:type="spellEnd"/>
      <w:r>
        <w:rPr>
          <w:rFonts w:ascii="Arial" w:hAnsi="Arial"/>
        </w:rPr>
        <w:t xml:space="preserve"> Heath Settled Upland</w:t>
      </w:r>
    </w:p>
    <w:p w14:paraId="12FDDA91" w14:textId="77777777" w:rsidR="0055778B" w:rsidRDefault="00000000">
      <w:pPr>
        <w:rPr>
          <w:rFonts w:ascii="Arial" w:hAnsi="Arial"/>
        </w:rPr>
      </w:pPr>
      <w:r>
        <w:rPr>
          <w:rFonts w:ascii="Arial" w:hAnsi="Arial"/>
        </w:rPr>
        <w:t>201</w:t>
      </w:r>
      <w:r>
        <w:rPr>
          <w:rFonts w:ascii="Arial" w:hAnsi="Arial"/>
        </w:rPr>
        <w:tab/>
        <w:t>Kimpton and Whiteway Bottom</w:t>
      </w:r>
    </w:p>
    <w:p w14:paraId="2FB69643" w14:textId="77777777" w:rsidR="0055778B" w:rsidRDefault="00000000">
      <w:pPr>
        <w:rPr>
          <w:rFonts w:ascii="Arial" w:hAnsi="Arial"/>
        </w:rPr>
      </w:pPr>
      <w:r>
        <w:rPr>
          <w:rFonts w:ascii="Arial" w:hAnsi="Arial"/>
        </w:rPr>
        <w:t>202</w:t>
      </w:r>
      <w:r>
        <w:rPr>
          <w:rFonts w:ascii="Arial" w:hAnsi="Arial"/>
        </w:rPr>
        <w:tab/>
      </w:r>
      <w:proofErr w:type="spellStart"/>
      <w:r>
        <w:rPr>
          <w:rFonts w:ascii="Arial" w:hAnsi="Arial"/>
        </w:rPr>
        <w:t>Breachwood</w:t>
      </w:r>
      <w:proofErr w:type="spellEnd"/>
      <w:r>
        <w:rPr>
          <w:rFonts w:ascii="Arial" w:hAnsi="Arial"/>
        </w:rPr>
        <w:t xml:space="preserve"> Green</w:t>
      </w:r>
    </w:p>
    <w:p w14:paraId="0AAF5AEA" w14:textId="77777777" w:rsidR="0055778B" w:rsidRDefault="00000000">
      <w:pPr>
        <w:rPr>
          <w:rFonts w:ascii="Arial" w:hAnsi="Arial"/>
        </w:rPr>
      </w:pPr>
      <w:r>
        <w:rPr>
          <w:rFonts w:ascii="Arial" w:hAnsi="Arial"/>
        </w:rPr>
        <w:t>203</w:t>
      </w:r>
      <w:r>
        <w:rPr>
          <w:rFonts w:ascii="Arial" w:hAnsi="Arial"/>
        </w:rPr>
        <w:tab/>
        <w:t>Whitwell Valley</w:t>
      </w:r>
    </w:p>
    <w:p w14:paraId="043F7CEE" w14:textId="77777777" w:rsidR="0055778B" w:rsidRDefault="00000000">
      <w:pPr>
        <w:rPr>
          <w:rFonts w:ascii="Arial" w:hAnsi="Arial"/>
        </w:rPr>
      </w:pPr>
      <w:r>
        <w:rPr>
          <w:rFonts w:ascii="Arial" w:hAnsi="Arial"/>
        </w:rPr>
        <w:t>205</w:t>
      </w:r>
      <w:r>
        <w:rPr>
          <w:rFonts w:ascii="Arial" w:hAnsi="Arial"/>
        </w:rPr>
        <w:tab/>
      </w:r>
      <w:proofErr w:type="spellStart"/>
      <w:r>
        <w:rPr>
          <w:rFonts w:ascii="Arial" w:hAnsi="Arial"/>
        </w:rPr>
        <w:t>Codicote</w:t>
      </w:r>
      <w:proofErr w:type="spellEnd"/>
      <w:r>
        <w:rPr>
          <w:rFonts w:ascii="Arial" w:hAnsi="Arial"/>
        </w:rPr>
        <w:t xml:space="preserve"> Plateau</w:t>
      </w:r>
    </w:p>
    <w:p w14:paraId="12A8799A" w14:textId="77777777" w:rsidR="0055778B" w:rsidRDefault="00000000">
      <w:pPr>
        <w:rPr>
          <w:rFonts w:ascii="Arial" w:hAnsi="Arial"/>
        </w:rPr>
      </w:pPr>
      <w:r>
        <w:rPr>
          <w:rFonts w:ascii="Arial" w:hAnsi="Arial"/>
        </w:rPr>
        <w:t>211</w:t>
      </w:r>
      <w:r>
        <w:rPr>
          <w:rFonts w:ascii="Arial" w:hAnsi="Arial"/>
        </w:rPr>
        <w:tab/>
      </w:r>
      <w:proofErr w:type="spellStart"/>
      <w:r>
        <w:rPr>
          <w:rFonts w:ascii="Arial" w:hAnsi="Arial"/>
        </w:rPr>
        <w:t>Offley</w:t>
      </w:r>
      <w:proofErr w:type="spellEnd"/>
      <w:r>
        <w:rPr>
          <w:rFonts w:ascii="Arial" w:hAnsi="Arial"/>
        </w:rPr>
        <w:t xml:space="preserve"> and St Paul’s Walden</w:t>
      </w:r>
    </w:p>
    <w:p w14:paraId="644DB2D4" w14:textId="77777777" w:rsidR="0055778B" w:rsidRDefault="0055778B"/>
    <w:sectPr w:rsidR="0055778B">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B7F16" w14:textId="77777777" w:rsidR="00C33FFF" w:rsidRDefault="00C33FFF">
      <w:r>
        <w:separator/>
      </w:r>
    </w:p>
  </w:endnote>
  <w:endnote w:type="continuationSeparator" w:id="0">
    <w:p w14:paraId="388919EE" w14:textId="77777777" w:rsidR="00C33FFF" w:rsidRDefault="00C3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E49F6" w14:textId="77777777" w:rsidR="00C33FFF" w:rsidRDefault="00C33FFF">
      <w:pPr>
        <w:rPr>
          <w:sz w:val="12"/>
        </w:rPr>
      </w:pPr>
      <w:r>
        <w:separator/>
      </w:r>
    </w:p>
  </w:footnote>
  <w:footnote w:type="continuationSeparator" w:id="0">
    <w:p w14:paraId="1BB66FD5" w14:textId="77777777" w:rsidR="00C33FFF" w:rsidRDefault="00C33FFF">
      <w:pPr>
        <w:rPr>
          <w:sz w:val="12"/>
        </w:rPr>
      </w:pPr>
      <w:r>
        <w:continuationSeparator/>
      </w:r>
    </w:p>
  </w:footnote>
  <w:footnote w:id="1">
    <w:p w14:paraId="043BB5D1" w14:textId="77777777" w:rsidR="0055778B" w:rsidRDefault="00000000">
      <w:pPr>
        <w:pStyle w:val="FootnoteText"/>
        <w:rPr>
          <w:rFonts w:ascii="Arial" w:hAnsi="Arial"/>
          <w:sz w:val="16"/>
          <w:szCs w:val="16"/>
        </w:rPr>
      </w:pPr>
      <w:r>
        <w:rPr>
          <w:rStyle w:val="FootnoteCharacters"/>
        </w:rPr>
        <w:footnoteRef/>
      </w:r>
      <w:r>
        <w:rPr>
          <w:rFonts w:ascii="Arial" w:hAnsi="Arial"/>
          <w:sz w:val="16"/>
          <w:szCs w:val="16"/>
        </w:rPr>
        <w:tab/>
        <w:t xml:space="preserve">With acknowledgement and thanks to </w:t>
      </w:r>
      <w:r>
        <w:rPr>
          <w:rFonts w:ascii="Arial" w:hAnsi="Arial"/>
          <w:sz w:val="16"/>
          <w:szCs w:val="16"/>
          <w:lang w:val="en-US"/>
        </w:rPr>
        <w:t>Liz Johnson and David Rixson for information used to compile this briefing paper.</w:t>
      </w:r>
    </w:p>
  </w:footnote>
  <w:footnote w:id="2">
    <w:p w14:paraId="01BAD278" w14:textId="77777777" w:rsidR="0055778B" w:rsidRDefault="00000000">
      <w:pPr>
        <w:pStyle w:val="FootnoteText"/>
        <w:rPr>
          <w:rFonts w:ascii="Arial" w:hAnsi="Arial"/>
          <w:sz w:val="16"/>
          <w:szCs w:val="16"/>
        </w:rPr>
      </w:pPr>
      <w:r>
        <w:rPr>
          <w:rStyle w:val="FootnoteCharacters"/>
        </w:rPr>
        <w:footnoteRef/>
      </w:r>
      <w:r>
        <w:rPr>
          <w:rFonts w:ascii="Arial" w:hAnsi="Arial"/>
          <w:sz w:val="16"/>
          <w:szCs w:val="16"/>
        </w:rPr>
        <w:tab/>
        <w:t>All are in the repository but may be downloaded from:</w:t>
      </w:r>
    </w:p>
    <w:p w14:paraId="7728FA44" w14:textId="77777777" w:rsidR="0055778B" w:rsidRDefault="00000000">
      <w:pPr>
        <w:pStyle w:val="FootnoteText"/>
      </w:pPr>
      <w:r>
        <w:rPr>
          <w:rFonts w:ascii="Times New Roman" w:hAnsi="Times New Roman"/>
          <w:sz w:val="16"/>
          <w:szCs w:val="16"/>
        </w:rPr>
        <w:tab/>
      </w:r>
      <w:hyperlink r:id="rId1">
        <w:r>
          <w:rPr>
            <w:rStyle w:val="Hyperlink"/>
            <w:rFonts w:ascii="Times New Roman" w:hAnsi="Times New Roman"/>
            <w:sz w:val="16"/>
            <w:szCs w:val="16"/>
          </w:rPr>
          <w:t>https://www.hertfordshire.gov.uk/services/recycling-waste-and-environment/landscape/landscape-character-assessment.aspx</w:t>
        </w:r>
      </w:hyperlink>
    </w:p>
  </w:footnote>
  <w:footnote w:id="3">
    <w:p w14:paraId="7A15F724" w14:textId="77777777" w:rsidR="0055778B" w:rsidRDefault="00000000">
      <w:pPr>
        <w:pStyle w:val="FootnoteText"/>
        <w:rPr>
          <w:rFonts w:ascii="Arial" w:hAnsi="Arial"/>
          <w:sz w:val="16"/>
          <w:szCs w:val="16"/>
        </w:rPr>
      </w:pPr>
      <w:r>
        <w:rPr>
          <w:rStyle w:val="FootnoteCharacters"/>
        </w:rPr>
        <w:footnoteRef/>
      </w:r>
      <w:r>
        <w:rPr>
          <w:rFonts w:ascii="Arial" w:hAnsi="Arial"/>
          <w:sz w:val="16"/>
          <w:szCs w:val="16"/>
        </w:rPr>
        <w:tab/>
        <w:t>Note that some of the areas are cross boundary and a few others may not have been listed above; we will try to refine and add to this list over time, if necessary.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5778B"/>
    <w:rsid w:val="00324E14"/>
    <w:rsid w:val="0055778B"/>
    <w:rsid w:val="00C33FFF"/>
    <w:rsid w:val="00DC0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A07E"/>
  <w15:docId w15:val="{8E0A46DA-3E79-4397-AD0B-CC37D9E2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style>
  <w:style w:type="character" w:styleId="FootnoteReference">
    <w:name w:val="footnote reference"/>
    <w:rPr>
      <w:vertAlign w:val="superscript"/>
    </w:rPr>
  </w:style>
  <w:style w:type="character" w:styleId="Hyperlink">
    <w:name w:val="Hyperlink"/>
    <w:rPr>
      <w:color w:val="000080"/>
      <w:u w:val="single"/>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340" w:hanging="3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hertfordshire.gov.uk/services/recycling-waste-and-environment/landscape/landscape-character-assessment.aspx"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Morris</dc:creator>
  <dc:description/>
  <cp:lastModifiedBy>Bill Morris</cp:lastModifiedBy>
  <cp:revision>3</cp:revision>
  <dcterms:created xsi:type="dcterms:W3CDTF">2025-10-06T11:29:00Z</dcterms:created>
  <dcterms:modified xsi:type="dcterms:W3CDTF">2026-03-29T10:46:00Z</dcterms:modified>
  <dc:language>en-GB</dc:language>
</cp:coreProperties>
</file>